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88C1" w14:textId="5A44213D" w:rsidR="001F4930" w:rsidRPr="008015F9" w:rsidRDefault="007853B6" w:rsidP="007853B6">
      <w:pPr>
        <w:spacing w:line="276" w:lineRule="auto"/>
        <w:jc w:val="center"/>
        <w:rPr>
          <w:rFonts w:asciiTheme="minorHAnsi" w:hAnsiTheme="minorHAnsi" w:cstheme="minorHAnsi"/>
          <w:b/>
          <w:bCs/>
          <w:color w:val="082042"/>
          <w:sz w:val="28"/>
          <w:szCs w:val="28"/>
          <w:lang w:val="en-GB"/>
        </w:rPr>
      </w:pPr>
      <w:r w:rsidRPr="008015F9">
        <w:rPr>
          <w:rFonts w:asciiTheme="minorHAnsi" w:hAnsiTheme="minorHAnsi" w:cstheme="minorHAnsi"/>
          <w:b/>
          <w:bCs/>
          <w:color w:val="082042"/>
          <w:sz w:val="28"/>
          <w:szCs w:val="28"/>
          <w:lang w:val="en-GB"/>
        </w:rPr>
        <w:t>Data protection information letter in accordance with EU Regulation 679/2016 (General Data Protection Regulation) – Applicants</w:t>
      </w:r>
    </w:p>
    <w:p w14:paraId="74E6374C" w14:textId="77777777" w:rsidR="007853B6" w:rsidRPr="008015F9" w:rsidRDefault="007853B6" w:rsidP="001F4930">
      <w:pPr>
        <w:spacing w:line="276" w:lineRule="auto"/>
        <w:rPr>
          <w:rFonts w:asciiTheme="minorHAnsi" w:hAnsiTheme="minorHAnsi" w:cstheme="minorHAnsi"/>
          <w:sz w:val="22"/>
          <w:lang w:val="en-GB"/>
        </w:rPr>
      </w:pPr>
    </w:p>
    <w:p w14:paraId="02627ED0" w14:textId="77777777" w:rsidR="007B2FEE" w:rsidRPr="008015F9" w:rsidRDefault="007B2FEE" w:rsidP="007B2FEE">
      <w:pPr>
        <w:rPr>
          <w:rFonts w:asciiTheme="minorHAnsi" w:hAnsiTheme="minorHAnsi" w:cstheme="minorHAnsi"/>
          <w:sz w:val="22"/>
          <w:lang w:val="en-GB"/>
        </w:rPr>
      </w:pPr>
      <w:r w:rsidRPr="008015F9">
        <w:rPr>
          <w:rFonts w:asciiTheme="minorHAnsi" w:hAnsiTheme="minorHAnsi" w:cstheme="minorHAnsi"/>
          <w:sz w:val="22"/>
          <w:lang w:val="en-GB"/>
        </w:rPr>
        <w:t>Dear Applicant,</w:t>
      </w:r>
    </w:p>
    <w:p w14:paraId="1248D44E" w14:textId="21C58AFE" w:rsidR="00C9634A" w:rsidRPr="008015F9" w:rsidRDefault="007B2FEE" w:rsidP="007B2FEE">
      <w:pPr>
        <w:rPr>
          <w:rFonts w:asciiTheme="minorHAnsi" w:hAnsiTheme="minorHAnsi" w:cstheme="minorHAnsi"/>
          <w:sz w:val="22"/>
          <w:lang w:val="en-GB"/>
        </w:rPr>
      </w:pPr>
      <w:r w:rsidRPr="008015F9">
        <w:rPr>
          <w:rFonts w:asciiTheme="minorHAnsi" w:hAnsiTheme="minorHAnsi" w:cstheme="minorHAnsi"/>
          <w:sz w:val="22"/>
          <w:lang w:val="en-GB"/>
        </w:rPr>
        <w:t>We are pleased to inform you about how we process your personal data. From this information, you can also see what rights you can exercise.</w:t>
      </w:r>
      <w:r w:rsidR="00287C5D" w:rsidRPr="00287C5D">
        <w:rPr>
          <w:rFonts w:ascii="Times New Roman" w:eastAsiaTheme="minorHAnsi" w:hAnsi="Times New Roman" w:cs="Times New Roman"/>
          <w:sz w:val="24"/>
          <w:szCs w:val="24"/>
          <w:lang w:val="en-US"/>
        </w:rPr>
        <w:t xml:space="preserve"> </w:t>
      </w:r>
    </w:p>
    <w:p w14:paraId="2CB33A19" w14:textId="77777777" w:rsidR="007B2FEE" w:rsidRPr="008015F9" w:rsidRDefault="007B2FEE" w:rsidP="007B2FEE">
      <w:pPr>
        <w:rPr>
          <w:rFonts w:asciiTheme="minorHAnsi" w:hAnsiTheme="minorHAnsi" w:cstheme="minorHAnsi"/>
          <w:sz w:val="22"/>
          <w:lang w:val="en-GB"/>
        </w:rPr>
      </w:pPr>
    </w:p>
    <w:p w14:paraId="49311D55" w14:textId="619222DF" w:rsidR="00734EEB" w:rsidRPr="009C2890" w:rsidRDefault="001C7B35" w:rsidP="00734EEB">
      <w:pPr>
        <w:spacing w:line="240"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t>Who processes my personal data?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34EEB" w:rsidRPr="008015F9" w14:paraId="38340EFD" w14:textId="77777777" w:rsidTr="00E541F8">
        <w:tc>
          <w:tcPr>
            <w:tcW w:w="4531" w:type="dxa"/>
            <w:tcBorders>
              <w:right w:val="single" w:sz="4" w:space="0" w:color="auto"/>
            </w:tcBorders>
          </w:tcPr>
          <w:p w14:paraId="1A29E49E" w14:textId="4DF69D51" w:rsidR="00734EEB" w:rsidRPr="009F6725" w:rsidRDefault="001C7B35" w:rsidP="00E541F8">
            <w:pPr>
              <w:jc w:val="both"/>
              <w:rPr>
                <w:rFonts w:asciiTheme="minorHAnsi" w:hAnsiTheme="minorHAnsi" w:cstheme="minorHAnsi"/>
                <w:sz w:val="22"/>
                <w:u w:val="single"/>
              </w:rPr>
            </w:pPr>
            <w:r w:rsidRPr="009F6725">
              <w:rPr>
                <w:rFonts w:asciiTheme="minorHAnsi" w:hAnsiTheme="minorHAnsi" w:cstheme="minorHAnsi"/>
                <w:sz w:val="22"/>
                <w:u w:val="single"/>
              </w:rPr>
              <w:t xml:space="preserve">Data </w:t>
            </w:r>
            <w:proofErr w:type="spellStart"/>
            <w:r w:rsidRPr="009F6725">
              <w:rPr>
                <w:rFonts w:asciiTheme="minorHAnsi" w:hAnsiTheme="minorHAnsi" w:cstheme="minorHAnsi"/>
                <w:sz w:val="22"/>
                <w:u w:val="single"/>
              </w:rPr>
              <w:t>controller</w:t>
            </w:r>
            <w:proofErr w:type="spellEnd"/>
          </w:p>
          <w:p w14:paraId="1506000E" w14:textId="77777777" w:rsidR="00FA52D3" w:rsidRPr="00620928" w:rsidRDefault="00FA52D3" w:rsidP="00FA52D3">
            <w:pPr>
              <w:jc w:val="both"/>
              <w:rPr>
                <w:rFonts w:asciiTheme="minorHAnsi" w:hAnsiTheme="minorHAnsi" w:cstheme="minorHAnsi"/>
                <w:b/>
                <w:sz w:val="22"/>
              </w:rPr>
            </w:pPr>
            <w:r w:rsidRPr="00620928">
              <w:rPr>
                <w:rFonts w:asciiTheme="minorHAnsi" w:hAnsiTheme="minorHAnsi" w:cstheme="minorHAnsi"/>
                <w:b/>
                <w:sz w:val="22"/>
              </w:rPr>
              <w:t>Weger Walter GmbH</w:t>
            </w:r>
            <w:r>
              <w:rPr>
                <w:rFonts w:asciiTheme="minorHAnsi" w:hAnsiTheme="minorHAnsi" w:cstheme="minorHAnsi"/>
                <w:b/>
                <w:sz w:val="22"/>
              </w:rPr>
              <w:t>/LLC</w:t>
            </w:r>
          </w:p>
          <w:p w14:paraId="223CD900" w14:textId="77777777" w:rsidR="00FA52D3" w:rsidRPr="00620928" w:rsidRDefault="00FA52D3" w:rsidP="00FA52D3">
            <w:pPr>
              <w:jc w:val="both"/>
              <w:rPr>
                <w:rFonts w:asciiTheme="minorHAnsi" w:hAnsiTheme="minorHAnsi" w:cstheme="minorHAnsi"/>
                <w:sz w:val="22"/>
              </w:rPr>
            </w:pPr>
            <w:r w:rsidRPr="00620928">
              <w:rPr>
                <w:rFonts w:asciiTheme="minorHAnsi" w:hAnsiTheme="minorHAnsi" w:cstheme="minorHAnsi"/>
                <w:sz w:val="22"/>
              </w:rPr>
              <w:t>Handwerkerzone 5</w:t>
            </w:r>
          </w:p>
          <w:p w14:paraId="135DAC85" w14:textId="77777777" w:rsidR="00FA52D3" w:rsidRPr="00620928" w:rsidRDefault="00FA52D3" w:rsidP="00FA52D3">
            <w:pPr>
              <w:jc w:val="both"/>
              <w:rPr>
                <w:rFonts w:asciiTheme="minorHAnsi" w:hAnsiTheme="minorHAnsi" w:cstheme="minorHAnsi"/>
                <w:sz w:val="22"/>
              </w:rPr>
            </w:pPr>
            <w:r w:rsidRPr="00620928">
              <w:rPr>
                <w:rFonts w:asciiTheme="minorHAnsi" w:hAnsiTheme="minorHAnsi" w:cstheme="minorHAnsi"/>
                <w:sz w:val="22"/>
              </w:rPr>
              <w:t>I-39030 Kiens/Ehrenburg (BZ)</w:t>
            </w:r>
          </w:p>
          <w:p w14:paraId="0BB023CA" w14:textId="77777777" w:rsidR="00FA52D3" w:rsidRPr="00620928" w:rsidRDefault="00FA52D3" w:rsidP="00FA52D3">
            <w:pPr>
              <w:jc w:val="both"/>
              <w:rPr>
                <w:rFonts w:asciiTheme="minorHAnsi" w:hAnsiTheme="minorHAnsi" w:cstheme="minorHAnsi"/>
                <w:sz w:val="22"/>
              </w:rPr>
            </w:pPr>
            <w:r w:rsidRPr="00620928">
              <w:rPr>
                <w:rFonts w:asciiTheme="minorHAnsi" w:hAnsiTheme="minorHAnsi" w:cstheme="minorHAnsi"/>
                <w:sz w:val="22"/>
              </w:rPr>
              <w:t>T. +39 0474 565 253 - info@weger.it</w:t>
            </w:r>
          </w:p>
          <w:p w14:paraId="23895BC9" w14:textId="7F59BC11" w:rsidR="00734EEB" w:rsidRPr="009F6725" w:rsidRDefault="00FA52D3" w:rsidP="00FA52D3">
            <w:pPr>
              <w:jc w:val="both"/>
              <w:rPr>
                <w:rFonts w:asciiTheme="minorHAnsi" w:hAnsiTheme="minorHAnsi" w:cstheme="minorHAnsi"/>
                <w:sz w:val="22"/>
              </w:rPr>
            </w:pPr>
            <w:proofErr w:type="spellStart"/>
            <w:r w:rsidRPr="00620928">
              <w:rPr>
                <w:rFonts w:asciiTheme="minorHAnsi" w:hAnsiTheme="minorHAnsi" w:cstheme="minorHAnsi"/>
                <w:sz w:val="22"/>
              </w:rPr>
              <w:t>Mwst</w:t>
            </w:r>
            <w:proofErr w:type="spellEnd"/>
            <w:r w:rsidRPr="00620928">
              <w:rPr>
                <w:rFonts w:asciiTheme="minorHAnsi" w:hAnsiTheme="minorHAnsi" w:cstheme="minorHAnsi"/>
                <w:sz w:val="22"/>
              </w:rPr>
              <w:t>-Nr.: IT00437350218</w:t>
            </w:r>
          </w:p>
        </w:tc>
        <w:tc>
          <w:tcPr>
            <w:tcW w:w="4531" w:type="dxa"/>
            <w:tcBorders>
              <w:left w:val="single" w:sz="4" w:space="0" w:color="auto"/>
            </w:tcBorders>
          </w:tcPr>
          <w:p w14:paraId="6792F4AD" w14:textId="32E968C2" w:rsidR="00734EEB" w:rsidRPr="008015F9" w:rsidRDefault="009F2A58" w:rsidP="00E541F8">
            <w:pPr>
              <w:jc w:val="both"/>
              <w:rPr>
                <w:rFonts w:asciiTheme="minorHAnsi" w:hAnsiTheme="minorHAnsi" w:cstheme="minorHAnsi"/>
                <w:sz w:val="22"/>
                <w:u w:val="single"/>
                <w:lang w:val="en-GB"/>
              </w:rPr>
            </w:pPr>
            <w:r w:rsidRPr="008015F9">
              <w:rPr>
                <w:rFonts w:asciiTheme="minorHAnsi" w:hAnsiTheme="minorHAnsi" w:cstheme="minorHAnsi"/>
                <w:sz w:val="22"/>
                <w:u w:val="single"/>
                <w:lang w:val="en-GB"/>
              </w:rPr>
              <w:t>Contact details of the data protection officer</w:t>
            </w:r>
          </w:p>
          <w:p w14:paraId="5A062924" w14:textId="77777777" w:rsidR="00214CDE" w:rsidRDefault="00214CDE" w:rsidP="00214CDE">
            <w:pPr>
              <w:jc w:val="both"/>
              <w:rPr>
                <w:rFonts w:asciiTheme="minorHAnsi" w:hAnsiTheme="minorHAnsi" w:cstheme="minorHAnsi"/>
                <w:sz w:val="22"/>
                <w:lang w:val="en-GB"/>
              </w:rPr>
            </w:pPr>
            <w:r w:rsidRPr="005207EF">
              <w:rPr>
                <w:rFonts w:asciiTheme="minorHAnsi" w:hAnsiTheme="minorHAnsi" w:cstheme="minorHAnsi"/>
                <w:sz w:val="22"/>
                <w:lang w:val="en-GB"/>
              </w:rPr>
              <w:t>privacy@steger-consulting.it</w:t>
            </w:r>
          </w:p>
          <w:p w14:paraId="396520EC" w14:textId="77777777" w:rsidR="00214CDE" w:rsidRPr="008015F9" w:rsidRDefault="00214CDE" w:rsidP="00214CDE">
            <w:pPr>
              <w:jc w:val="both"/>
              <w:rPr>
                <w:rFonts w:asciiTheme="minorHAnsi" w:hAnsiTheme="minorHAnsi" w:cstheme="minorHAnsi"/>
                <w:sz w:val="22"/>
                <w:lang w:val="en-GB"/>
              </w:rPr>
            </w:pPr>
            <w:r>
              <w:rPr>
                <w:rFonts w:asciiTheme="minorHAnsi" w:hAnsiTheme="minorHAnsi" w:cstheme="minorHAnsi"/>
                <w:sz w:val="22"/>
                <w:lang w:val="en-GB"/>
              </w:rPr>
              <w:t>www.steger-consulting.it</w:t>
            </w:r>
          </w:p>
          <w:p w14:paraId="17CD409A" w14:textId="77777777" w:rsidR="00734EEB" w:rsidRPr="008015F9" w:rsidRDefault="00734EEB" w:rsidP="00E541F8">
            <w:pPr>
              <w:jc w:val="both"/>
              <w:rPr>
                <w:rFonts w:asciiTheme="minorHAnsi" w:hAnsiTheme="minorHAnsi" w:cstheme="minorHAnsi"/>
                <w:b/>
                <w:sz w:val="22"/>
                <w:lang w:val="en-GB"/>
              </w:rPr>
            </w:pPr>
          </w:p>
        </w:tc>
      </w:tr>
    </w:tbl>
    <w:p w14:paraId="2F454C4E" w14:textId="0F9B5EE1" w:rsidR="00734EEB" w:rsidRPr="008015F9" w:rsidRDefault="00734EEB" w:rsidP="00A7405D">
      <w:pPr>
        <w:rPr>
          <w:rFonts w:asciiTheme="minorHAnsi" w:hAnsiTheme="minorHAnsi" w:cstheme="minorHAnsi"/>
          <w:sz w:val="22"/>
          <w:lang w:val="en-GB"/>
        </w:rPr>
      </w:pPr>
    </w:p>
    <w:p w14:paraId="7DFD42C2" w14:textId="77777777" w:rsidR="00054207" w:rsidRPr="009C2890" w:rsidRDefault="00054207" w:rsidP="004706CB">
      <w:pPr>
        <w:spacing w:line="240"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t>What personal data is processed and for what purpose?</w:t>
      </w:r>
    </w:p>
    <w:p w14:paraId="1D281AF5" w14:textId="74E1C501" w:rsidR="00864433" w:rsidRPr="008015F9" w:rsidRDefault="00054207" w:rsidP="004706CB">
      <w:pPr>
        <w:spacing w:line="240" w:lineRule="auto"/>
        <w:jc w:val="both"/>
        <w:rPr>
          <w:rFonts w:asciiTheme="minorHAnsi" w:hAnsiTheme="minorHAnsi" w:cstheme="minorHAnsi"/>
          <w:sz w:val="22"/>
          <w:lang w:val="en-GB"/>
        </w:rPr>
      </w:pPr>
      <w:r w:rsidRPr="008015F9">
        <w:rPr>
          <w:rFonts w:asciiTheme="minorHAnsi" w:hAnsiTheme="minorHAnsi" w:cstheme="minorHAnsi"/>
          <w:sz w:val="22"/>
          <w:lang w:val="en-GB"/>
        </w:rPr>
        <w:t xml:space="preserve">Pursuant to the EU Regulation 2016/679 (General Data Protection Regulation) and applicable national </w:t>
      </w:r>
      <w:r w:rsidR="00091565" w:rsidRPr="008015F9">
        <w:rPr>
          <w:rFonts w:asciiTheme="minorHAnsi" w:hAnsiTheme="minorHAnsi" w:cstheme="minorHAnsi"/>
          <w:sz w:val="22"/>
          <w:lang w:val="en-GB"/>
        </w:rPr>
        <w:t xml:space="preserve">data protection </w:t>
      </w:r>
      <w:r w:rsidRPr="008015F9">
        <w:rPr>
          <w:rFonts w:asciiTheme="minorHAnsi" w:hAnsiTheme="minorHAnsi" w:cstheme="minorHAnsi"/>
          <w:sz w:val="22"/>
          <w:lang w:val="en-GB"/>
        </w:rPr>
        <w:t>legislation, the following data, among others, may be subject to processing:</w:t>
      </w:r>
    </w:p>
    <w:p w14:paraId="0FE95EA5" w14:textId="539F2F30" w:rsidR="00054207" w:rsidRPr="008015F9" w:rsidRDefault="00054207" w:rsidP="00FD503B">
      <w:pPr>
        <w:pStyle w:val="Listenabsatz"/>
        <w:numPr>
          <w:ilvl w:val="0"/>
          <w:numId w:val="5"/>
        </w:numPr>
        <w:spacing w:line="240" w:lineRule="auto"/>
        <w:jc w:val="both"/>
        <w:rPr>
          <w:rFonts w:cstheme="minorHAnsi"/>
          <w:lang w:val="en-GB"/>
        </w:rPr>
      </w:pPr>
      <w:r w:rsidRPr="008015F9">
        <w:rPr>
          <w:rFonts w:cstheme="minorHAnsi"/>
          <w:lang w:val="en-GB"/>
        </w:rPr>
        <w:t xml:space="preserve">Your </w:t>
      </w:r>
      <w:r w:rsidR="00595B4D" w:rsidRPr="008015F9">
        <w:rPr>
          <w:rFonts w:cstheme="minorHAnsi"/>
          <w:lang w:val="en-GB"/>
        </w:rPr>
        <w:t>Anagraphic</w:t>
      </w:r>
      <w:r w:rsidRPr="008015F9">
        <w:rPr>
          <w:rFonts w:cstheme="minorHAnsi"/>
          <w:lang w:val="en-GB"/>
        </w:rPr>
        <w:t xml:space="preserve"> data such as name, address, contact details, academic as well as professional career </w:t>
      </w:r>
      <w:r w:rsidR="00385729">
        <w:rPr>
          <w:rFonts w:cstheme="minorHAnsi"/>
          <w:lang w:val="en-GB"/>
        </w:rPr>
        <w:t>(</w:t>
      </w:r>
      <w:r w:rsidRPr="008015F9">
        <w:rPr>
          <w:rFonts w:cstheme="minorHAnsi"/>
          <w:lang w:val="en-GB"/>
        </w:rPr>
        <w:t>contained in your CV</w:t>
      </w:r>
      <w:r w:rsidR="00385729">
        <w:rPr>
          <w:rFonts w:cstheme="minorHAnsi"/>
          <w:lang w:val="en-GB"/>
        </w:rPr>
        <w:t>)</w:t>
      </w:r>
      <w:r w:rsidRPr="008015F9">
        <w:rPr>
          <w:rFonts w:cstheme="minorHAnsi"/>
          <w:lang w:val="en-GB"/>
        </w:rPr>
        <w:t>, etc.</w:t>
      </w:r>
    </w:p>
    <w:p w14:paraId="06E0A302" w14:textId="73054BB5" w:rsidR="00054207" w:rsidRPr="008015F9" w:rsidRDefault="00343565" w:rsidP="00FD503B">
      <w:pPr>
        <w:pStyle w:val="Listenabsatz"/>
        <w:numPr>
          <w:ilvl w:val="0"/>
          <w:numId w:val="5"/>
        </w:numPr>
        <w:spacing w:line="240" w:lineRule="auto"/>
        <w:jc w:val="both"/>
        <w:rPr>
          <w:rFonts w:cstheme="minorHAnsi"/>
          <w:lang w:val="en-GB"/>
        </w:rPr>
      </w:pPr>
      <w:r w:rsidRPr="008015F9">
        <w:rPr>
          <w:rFonts w:cstheme="minorHAnsi"/>
          <w:lang w:val="en-GB"/>
        </w:rPr>
        <w:t>Anagraphic</w:t>
      </w:r>
      <w:r w:rsidR="00054207" w:rsidRPr="008015F9">
        <w:rPr>
          <w:rFonts w:cstheme="minorHAnsi"/>
          <w:lang w:val="en-GB"/>
        </w:rPr>
        <w:t xml:space="preserve"> data of family members (possibly included in your CV)</w:t>
      </w:r>
    </w:p>
    <w:p w14:paraId="2A895221" w14:textId="1EEDDEF1" w:rsidR="002259CB" w:rsidRPr="008015F9" w:rsidRDefault="00054207" w:rsidP="00FD503B">
      <w:pPr>
        <w:pStyle w:val="Listenabsatz"/>
        <w:numPr>
          <w:ilvl w:val="0"/>
          <w:numId w:val="5"/>
        </w:numPr>
        <w:spacing w:line="240" w:lineRule="auto"/>
        <w:jc w:val="both"/>
        <w:rPr>
          <w:rFonts w:cstheme="minorHAnsi"/>
          <w:lang w:val="en-GB"/>
        </w:rPr>
      </w:pPr>
      <w:r w:rsidRPr="008015F9">
        <w:rPr>
          <w:rFonts w:cstheme="minorHAnsi"/>
          <w:lang w:val="en-GB"/>
        </w:rPr>
        <w:t>Photo (may be included in your CV)</w:t>
      </w:r>
    </w:p>
    <w:p w14:paraId="7DE5B57D" w14:textId="23E25DD8" w:rsidR="0074703C" w:rsidRPr="008015F9" w:rsidRDefault="00722C3F" w:rsidP="004706CB">
      <w:pPr>
        <w:spacing w:line="240" w:lineRule="auto"/>
        <w:jc w:val="both"/>
        <w:rPr>
          <w:rFonts w:asciiTheme="minorHAnsi" w:hAnsiTheme="minorHAnsi" w:cstheme="minorHAnsi"/>
          <w:sz w:val="22"/>
          <w:lang w:val="en-GB"/>
        </w:rPr>
      </w:pPr>
      <w:r w:rsidRPr="008015F9">
        <w:rPr>
          <w:rFonts w:asciiTheme="minorHAnsi" w:hAnsiTheme="minorHAnsi" w:cstheme="minorHAnsi"/>
          <w:sz w:val="22"/>
          <w:lang w:val="en-GB"/>
        </w:rPr>
        <w:t xml:space="preserve">The </w:t>
      </w:r>
      <w:r w:rsidRPr="009C2890">
        <w:rPr>
          <w:rFonts w:asciiTheme="minorHAnsi" w:hAnsiTheme="minorHAnsi" w:cstheme="minorHAnsi"/>
          <w:b/>
          <w:color w:val="082142"/>
          <w:sz w:val="22"/>
          <w:lang w:val="en-GB"/>
        </w:rPr>
        <w:t>purpose</w:t>
      </w:r>
      <w:r w:rsidRPr="008015F9">
        <w:rPr>
          <w:rFonts w:asciiTheme="minorHAnsi" w:hAnsiTheme="minorHAnsi" w:cstheme="minorHAnsi"/>
          <w:sz w:val="22"/>
          <w:lang w:val="en-GB"/>
        </w:rPr>
        <w:t xml:space="preserve"> of the data processing is to carry out the application process. This includes the pre-selection of applicants in this respect, organisation of the application processes as well as the possible contacting of the applicant for the holding of the interview.</w:t>
      </w:r>
    </w:p>
    <w:p w14:paraId="3E36DA1F" w14:textId="77777777" w:rsidR="00722C3F" w:rsidRPr="008015F9" w:rsidRDefault="00722C3F" w:rsidP="004706CB">
      <w:pPr>
        <w:spacing w:line="240" w:lineRule="auto"/>
        <w:jc w:val="both"/>
        <w:rPr>
          <w:rFonts w:asciiTheme="minorHAnsi" w:hAnsiTheme="minorHAnsi" w:cstheme="minorHAnsi"/>
          <w:sz w:val="22"/>
          <w:lang w:val="en-GB"/>
        </w:rPr>
      </w:pPr>
    </w:p>
    <w:p w14:paraId="1E12B31C" w14:textId="3AA44107" w:rsidR="00593369" w:rsidRPr="008015F9" w:rsidRDefault="00D82892" w:rsidP="004706CB">
      <w:pPr>
        <w:spacing w:line="240" w:lineRule="auto"/>
        <w:jc w:val="both"/>
        <w:rPr>
          <w:rFonts w:asciiTheme="minorHAnsi" w:hAnsiTheme="minorHAnsi" w:cstheme="minorHAnsi"/>
          <w:sz w:val="22"/>
          <w:lang w:val="en-GB"/>
        </w:rPr>
      </w:pPr>
      <w:r w:rsidRPr="00D82892">
        <w:rPr>
          <w:rFonts w:asciiTheme="minorHAnsi" w:hAnsiTheme="minorHAnsi" w:cstheme="minorHAnsi"/>
          <w:sz w:val="22"/>
          <w:lang w:val="en-GB"/>
        </w:rPr>
        <w:t>The provision of your data is neither legally nor contractually obligatory. However, if you do not provide us with the data required for the application process, it will not be possible for us to consider you in the application process.</w:t>
      </w:r>
    </w:p>
    <w:p w14:paraId="7160588B" w14:textId="77777777" w:rsidR="00595029" w:rsidRPr="008015F9" w:rsidRDefault="00595029" w:rsidP="004706CB">
      <w:pPr>
        <w:spacing w:line="240" w:lineRule="auto"/>
        <w:jc w:val="both"/>
        <w:rPr>
          <w:rFonts w:asciiTheme="minorHAnsi" w:hAnsiTheme="minorHAnsi" w:cstheme="minorHAnsi"/>
          <w:sz w:val="22"/>
          <w:lang w:val="en-GB"/>
        </w:rPr>
      </w:pPr>
    </w:p>
    <w:p w14:paraId="72287E9E" w14:textId="77777777" w:rsidR="00595029" w:rsidRPr="009C2890" w:rsidRDefault="00595029" w:rsidP="004706CB">
      <w:pPr>
        <w:spacing w:line="240"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t>To whom will my personal data be forwarded?</w:t>
      </w:r>
    </w:p>
    <w:p w14:paraId="0A99F2DA" w14:textId="7A3CDA41" w:rsidR="004706CB" w:rsidRPr="008015F9" w:rsidRDefault="00595029" w:rsidP="004706CB">
      <w:pPr>
        <w:rPr>
          <w:rFonts w:asciiTheme="minorHAnsi" w:hAnsiTheme="minorHAnsi" w:cstheme="minorHAnsi"/>
          <w:sz w:val="22"/>
          <w:lang w:val="en-GB"/>
        </w:rPr>
      </w:pPr>
      <w:r w:rsidRPr="008015F9">
        <w:rPr>
          <w:rFonts w:asciiTheme="minorHAnsi" w:hAnsiTheme="minorHAnsi" w:cstheme="minorHAnsi"/>
          <w:sz w:val="22"/>
          <w:lang w:val="en-GB"/>
        </w:rPr>
        <w:t>Your personal data will only be processed internally, it will not be forwarded to external third parties.</w:t>
      </w:r>
    </w:p>
    <w:p w14:paraId="0B8DF703" w14:textId="741E45E0" w:rsidR="00595029" w:rsidRPr="00660AE2" w:rsidRDefault="00660AE2" w:rsidP="00660AE2">
      <w:pPr>
        <w:rPr>
          <w:rFonts w:asciiTheme="minorHAnsi" w:hAnsiTheme="minorHAnsi" w:cstheme="minorHAnsi"/>
          <w:sz w:val="22"/>
          <w:lang w:val="en-US"/>
        </w:rPr>
      </w:pPr>
      <w:r w:rsidRPr="00FA3905">
        <w:rPr>
          <w:rFonts w:asciiTheme="minorHAnsi" w:hAnsiTheme="minorHAnsi" w:cstheme="minorHAnsi"/>
          <w:sz w:val="22"/>
          <w:lang w:val="en-US"/>
        </w:rPr>
        <w:t xml:space="preserve">External suppliers, such as the external IT service provider, may have access to personal data under certain circumstances. </w:t>
      </w:r>
      <w:r>
        <w:rPr>
          <w:rFonts w:asciiTheme="minorHAnsi" w:hAnsiTheme="minorHAnsi" w:cstheme="minorHAnsi"/>
          <w:sz w:val="22"/>
          <w:lang w:val="en-US"/>
        </w:rPr>
        <w:t xml:space="preserve">Data </w:t>
      </w:r>
      <w:r w:rsidRPr="00FA3905">
        <w:rPr>
          <w:rFonts w:asciiTheme="minorHAnsi" w:hAnsiTheme="minorHAnsi" w:cstheme="minorHAnsi"/>
          <w:sz w:val="22"/>
          <w:lang w:val="en-US"/>
        </w:rPr>
        <w:t>processors have been appointed in writing as processors in accordance with Art. 28 of the GDPR.</w:t>
      </w:r>
    </w:p>
    <w:p w14:paraId="1989707F" w14:textId="77777777" w:rsidR="00660AE2" w:rsidRPr="008015F9" w:rsidRDefault="00660AE2" w:rsidP="004706CB">
      <w:pPr>
        <w:rPr>
          <w:rFonts w:asciiTheme="minorHAnsi" w:hAnsiTheme="minorHAnsi" w:cstheme="minorHAnsi"/>
          <w:sz w:val="22"/>
          <w:lang w:val="en-GB"/>
        </w:rPr>
      </w:pPr>
    </w:p>
    <w:p w14:paraId="1135C862" w14:textId="77777777" w:rsidR="00595029" w:rsidRPr="009C2890" w:rsidRDefault="00595029" w:rsidP="009C2890">
      <w:pPr>
        <w:spacing w:line="240"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t>What are the legal bases for data processing?</w:t>
      </w:r>
    </w:p>
    <w:p w14:paraId="01B4C417" w14:textId="4C9C7682" w:rsidR="004706CB" w:rsidRPr="008015F9" w:rsidRDefault="00595029" w:rsidP="004706CB">
      <w:pPr>
        <w:spacing w:line="240" w:lineRule="auto"/>
        <w:rPr>
          <w:rFonts w:asciiTheme="minorHAnsi" w:hAnsiTheme="minorHAnsi" w:cstheme="minorHAnsi"/>
          <w:sz w:val="22"/>
          <w:lang w:val="en-GB"/>
        </w:rPr>
      </w:pPr>
      <w:r w:rsidRPr="008015F9">
        <w:rPr>
          <w:rFonts w:asciiTheme="minorHAnsi" w:hAnsiTheme="minorHAnsi" w:cstheme="minorHAnsi"/>
          <w:sz w:val="22"/>
          <w:lang w:val="en-GB"/>
        </w:rPr>
        <w:t>Legal bases with examples:</w:t>
      </w:r>
    </w:p>
    <w:p w14:paraId="493F1EB8" w14:textId="3718645C" w:rsidR="00B61FFB" w:rsidRPr="008015F9" w:rsidRDefault="00B61FFB" w:rsidP="00FD503B">
      <w:pPr>
        <w:pStyle w:val="Listenabsatz"/>
        <w:numPr>
          <w:ilvl w:val="0"/>
          <w:numId w:val="4"/>
        </w:numPr>
        <w:spacing w:line="240" w:lineRule="auto"/>
        <w:jc w:val="both"/>
        <w:rPr>
          <w:rFonts w:cstheme="minorHAnsi"/>
          <w:lang w:val="en-GB"/>
        </w:rPr>
      </w:pPr>
      <w:r w:rsidRPr="008015F9">
        <w:rPr>
          <w:rFonts w:cstheme="minorHAnsi"/>
          <w:lang w:val="en-GB"/>
        </w:rPr>
        <w:t>Pre-contractual/contractual measures (Art. 6</w:t>
      </w:r>
      <w:r w:rsidR="00684E15">
        <w:rPr>
          <w:rFonts w:cstheme="minorHAnsi"/>
          <w:lang w:val="en-GB"/>
        </w:rPr>
        <w:t xml:space="preserve">.1 </w:t>
      </w:r>
      <w:r w:rsidRPr="008015F9">
        <w:rPr>
          <w:rFonts w:cstheme="minorHAnsi"/>
          <w:lang w:val="en-GB"/>
        </w:rPr>
        <w:t xml:space="preserve">b GDPR): </w:t>
      </w:r>
      <w:r w:rsidR="00195A2A" w:rsidRPr="008015F9">
        <w:rPr>
          <w:rFonts w:cstheme="minorHAnsi"/>
          <w:lang w:val="en-GB"/>
        </w:rPr>
        <w:t>e.g.,</w:t>
      </w:r>
      <w:r w:rsidR="004D76D1" w:rsidRPr="008015F9">
        <w:rPr>
          <w:rFonts w:cstheme="minorHAnsi"/>
          <w:lang w:val="en-GB"/>
        </w:rPr>
        <w:t xml:space="preserve"> </w:t>
      </w:r>
      <w:r w:rsidRPr="008015F9">
        <w:rPr>
          <w:rFonts w:cstheme="minorHAnsi"/>
          <w:lang w:val="en-GB"/>
        </w:rPr>
        <w:t xml:space="preserve">implementation of the application process, contacting the </w:t>
      </w:r>
      <w:r w:rsidR="00FD503B" w:rsidRPr="008015F9">
        <w:rPr>
          <w:rFonts w:cstheme="minorHAnsi"/>
          <w:lang w:val="en-GB"/>
        </w:rPr>
        <w:t>applicant</w:t>
      </w:r>
    </w:p>
    <w:p w14:paraId="22F5FB03" w14:textId="54647C66" w:rsidR="004706CB" w:rsidRPr="008015F9" w:rsidRDefault="0005125A" w:rsidP="00FD503B">
      <w:pPr>
        <w:pStyle w:val="Listenabsatz"/>
        <w:numPr>
          <w:ilvl w:val="0"/>
          <w:numId w:val="4"/>
        </w:numPr>
        <w:spacing w:after="0" w:line="240" w:lineRule="auto"/>
        <w:jc w:val="both"/>
        <w:rPr>
          <w:rFonts w:cstheme="minorHAnsi"/>
          <w:lang w:val="en-GB"/>
        </w:rPr>
      </w:pPr>
      <w:r w:rsidRPr="008015F9">
        <w:rPr>
          <w:rFonts w:cstheme="minorHAnsi"/>
          <w:lang w:val="en-GB"/>
        </w:rPr>
        <w:t>Legitimate interests</w:t>
      </w:r>
      <w:r w:rsidR="004D76D1" w:rsidRPr="008015F9">
        <w:rPr>
          <w:rFonts w:cstheme="minorHAnsi"/>
          <w:lang w:val="en-GB"/>
        </w:rPr>
        <w:t xml:space="preserve"> of the data controller</w:t>
      </w:r>
      <w:r w:rsidR="00B61FFB" w:rsidRPr="008015F9">
        <w:rPr>
          <w:rFonts w:cstheme="minorHAnsi"/>
          <w:lang w:val="en-GB"/>
        </w:rPr>
        <w:t xml:space="preserve"> (Art. 6</w:t>
      </w:r>
      <w:r w:rsidR="00684E15">
        <w:rPr>
          <w:rFonts w:cstheme="minorHAnsi"/>
          <w:lang w:val="en-GB"/>
        </w:rPr>
        <w:t xml:space="preserve">.1 </w:t>
      </w:r>
      <w:r w:rsidR="00B61FFB" w:rsidRPr="008015F9">
        <w:rPr>
          <w:rFonts w:cstheme="minorHAnsi"/>
          <w:lang w:val="en-GB"/>
        </w:rPr>
        <w:t xml:space="preserve">f GDPR): </w:t>
      </w:r>
      <w:r w:rsidR="00195A2A" w:rsidRPr="008015F9">
        <w:rPr>
          <w:rFonts w:cstheme="minorHAnsi"/>
          <w:lang w:val="en-GB"/>
        </w:rPr>
        <w:t>e.g.,</w:t>
      </w:r>
      <w:r w:rsidR="00B61FFB" w:rsidRPr="008015F9">
        <w:rPr>
          <w:rFonts w:cstheme="minorHAnsi"/>
          <w:lang w:val="en-GB"/>
        </w:rPr>
        <w:t xml:space="preserve"> organisation of the application process, ensuring the smooth running of the business</w:t>
      </w:r>
    </w:p>
    <w:p w14:paraId="39BB76C6" w14:textId="77777777" w:rsidR="004706CB" w:rsidRPr="008015F9" w:rsidRDefault="004706CB" w:rsidP="004706CB">
      <w:pPr>
        <w:pStyle w:val="Listenabsatz"/>
        <w:spacing w:after="0" w:line="240" w:lineRule="auto"/>
        <w:jc w:val="both"/>
        <w:rPr>
          <w:rFonts w:cstheme="minorHAnsi"/>
          <w:lang w:val="en-GB"/>
        </w:rPr>
      </w:pPr>
    </w:p>
    <w:p w14:paraId="7FE81A22" w14:textId="77777777" w:rsidR="00F60771" w:rsidRPr="009C2890" w:rsidRDefault="00F60771" w:rsidP="009C2890">
      <w:pPr>
        <w:spacing w:line="240"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t>For how long will my personal data be stored?</w:t>
      </w:r>
    </w:p>
    <w:p w14:paraId="1902E526" w14:textId="6067F9D3" w:rsidR="001D0373" w:rsidRPr="008015F9" w:rsidRDefault="00F60771" w:rsidP="004706CB">
      <w:pPr>
        <w:tabs>
          <w:tab w:val="left" w:pos="3890"/>
          <w:tab w:val="center" w:pos="4536"/>
        </w:tabs>
        <w:jc w:val="both"/>
        <w:rPr>
          <w:rFonts w:asciiTheme="minorHAnsi" w:hAnsiTheme="minorHAnsi" w:cstheme="minorHAnsi"/>
          <w:sz w:val="22"/>
          <w:lang w:val="en-GB"/>
        </w:rPr>
      </w:pPr>
      <w:r w:rsidRPr="008015F9">
        <w:rPr>
          <w:rFonts w:asciiTheme="minorHAnsi" w:hAnsiTheme="minorHAnsi" w:cstheme="minorHAnsi"/>
          <w:sz w:val="22"/>
          <w:lang w:val="en-GB"/>
        </w:rPr>
        <w:t xml:space="preserve">Your personal data will only be stored until the purpose of the data processing has </w:t>
      </w:r>
      <w:r w:rsidR="00E251CF" w:rsidRPr="008015F9">
        <w:rPr>
          <w:rFonts w:asciiTheme="minorHAnsi" w:hAnsiTheme="minorHAnsi" w:cstheme="minorHAnsi"/>
          <w:sz w:val="22"/>
          <w:lang w:val="en-GB"/>
        </w:rPr>
        <w:t>ceased</w:t>
      </w:r>
      <w:r w:rsidRPr="008015F9">
        <w:rPr>
          <w:rFonts w:asciiTheme="minorHAnsi" w:hAnsiTheme="minorHAnsi" w:cstheme="minorHAnsi"/>
          <w:sz w:val="22"/>
          <w:lang w:val="en-GB"/>
        </w:rPr>
        <w:t xml:space="preserve"> (max. </w:t>
      </w:r>
      <w:r w:rsidR="003D5816">
        <w:rPr>
          <w:rFonts w:asciiTheme="minorHAnsi" w:hAnsiTheme="minorHAnsi" w:cstheme="minorHAnsi"/>
          <w:sz w:val="22"/>
          <w:lang w:val="en-GB"/>
        </w:rPr>
        <w:t xml:space="preserve">up to </w:t>
      </w:r>
      <w:r w:rsidRPr="008015F9">
        <w:rPr>
          <w:rFonts w:asciiTheme="minorHAnsi" w:hAnsiTheme="minorHAnsi" w:cstheme="minorHAnsi"/>
          <w:sz w:val="22"/>
          <w:lang w:val="en-GB"/>
        </w:rPr>
        <w:t>6</w:t>
      </w:r>
      <w:r w:rsidR="00964888">
        <w:rPr>
          <w:rFonts w:asciiTheme="minorHAnsi" w:hAnsiTheme="minorHAnsi" w:cstheme="minorHAnsi"/>
          <w:sz w:val="22"/>
          <w:lang w:val="en-GB"/>
        </w:rPr>
        <w:t xml:space="preserve"> months</w:t>
      </w:r>
      <w:r w:rsidRPr="008015F9">
        <w:rPr>
          <w:rFonts w:asciiTheme="minorHAnsi" w:hAnsiTheme="minorHAnsi" w:cstheme="minorHAnsi"/>
          <w:sz w:val="22"/>
          <w:lang w:val="en-GB"/>
        </w:rPr>
        <w:t>).</w:t>
      </w:r>
    </w:p>
    <w:p w14:paraId="53A193AC" w14:textId="23611C3C" w:rsidR="00567F60" w:rsidRDefault="00567F60">
      <w:pPr>
        <w:spacing w:after="160" w:line="259" w:lineRule="auto"/>
        <w:rPr>
          <w:rFonts w:asciiTheme="minorHAnsi" w:hAnsiTheme="minorHAnsi" w:cstheme="minorHAnsi"/>
          <w:sz w:val="22"/>
          <w:lang w:val="en-GB"/>
        </w:rPr>
      </w:pPr>
      <w:r>
        <w:rPr>
          <w:rFonts w:asciiTheme="minorHAnsi" w:hAnsiTheme="minorHAnsi" w:cstheme="minorHAnsi"/>
          <w:sz w:val="22"/>
          <w:lang w:val="en-GB"/>
        </w:rPr>
        <w:br w:type="page"/>
      </w:r>
    </w:p>
    <w:p w14:paraId="32603698" w14:textId="77777777" w:rsidR="00903828" w:rsidRPr="009C2890" w:rsidRDefault="00903828" w:rsidP="009C2890">
      <w:pPr>
        <w:spacing w:line="240"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lastRenderedPageBreak/>
        <w:t>Does data transfer outside the EU or profiling take place?</w:t>
      </w:r>
    </w:p>
    <w:p w14:paraId="125D3A5D" w14:textId="77777777" w:rsidR="008E7F31" w:rsidRDefault="00EB6BA4" w:rsidP="008E7F31">
      <w:pPr>
        <w:spacing w:line="276" w:lineRule="auto"/>
        <w:jc w:val="both"/>
        <w:rPr>
          <w:rFonts w:asciiTheme="minorHAnsi" w:hAnsiTheme="minorHAnsi" w:cstheme="minorHAnsi"/>
          <w:bCs/>
          <w:sz w:val="22"/>
          <w:lang w:val="en-GB"/>
        </w:rPr>
      </w:pPr>
      <w:r w:rsidRPr="008015F9">
        <w:rPr>
          <w:rFonts w:asciiTheme="minorHAnsi" w:hAnsiTheme="minorHAnsi" w:cstheme="minorHAnsi"/>
          <w:bCs/>
          <w:sz w:val="22"/>
          <w:lang w:val="en-GB"/>
        </w:rPr>
        <w:t>Your data will not be transferred to non-EU countries. Automated decision-making including profiling is not used.</w:t>
      </w:r>
    </w:p>
    <w:p w14:paraId="3F9DF496" w14:textId="1D94BC4E" w:rsidR="004706CB" w:rsidRPr="009C2890" w:rsidRDefault="006E26DC" w:rsidP="008E7F31">
      <w:pPr>
        <w:spacing w:line="276" w:lineRule="auto"/>
        <w:jc w:val="both"/>
        <w:rPr>
          <w:rFonts w:asciiTheme="minorHAnsi" w:hAnsiTheme="minorHAnsi" w:cstheme="minorHAnsi"/>
          <w:b/>
          <w:color w:val="082142"/>
          <w:sz w:val="22"/>
          <w:lang w:val="en-GB"/>
        </w:rPr>
      </w:pPr>
      <w:r w:rsidRPr="009C2890">
        <w:rPr>
          <w:rFonts w:asciiTheme="minorHAnsi" w:hAnsiTheme="minorHAnsi" w:cstheme="minorHAnsi"/>
          <w:b/>
          <w:color w:val="082142"/>
          <w:sz w:val="22"/>
          <w:lang w:val="en-GB"/>
        </w:rPr>
        <w:t>What are my rights?</w:t>
      </w:r>
    </w:p>
    <w:p w14:paraId="3E155C5C" w14:textId="77777777" w:rsidR="006E26DC" w:rsidRPr="008015F9" w:rsidRDefault="006E26DC" w:rsidP="006E26DC">
      <w:pPr>
        <w:jc w:val="both"/>
        <w:rPr>
          <w:rFonts w:asciiTheme="minorHAnsi" w:hAnsiTheme="minorHAnsi" w:cstheme="minorHAnsi"/>
          <w:bCs/>
          <w:sz w:val="22"/>
          <w:lang w:val="en-GB"/>
        </w:rPr>
      </w:pPr>
      <w:r w:rsidRPr="008015F9">
        <w:rPr>
          <w:rFonts w:asciiTheme="minorHAnsi" w:hAnsiTheme="minorHAnsi" w:cstheme="minorHAnsi"/>
          <w:bCs/>
          <w:sz w:val="22"/>
          <w:lang w:val="en-GB"/>
        </w:rPr>
        <w:t>You can exercise your rights free of charge at any time: right to access (Art. 15 GDPR), right to rectification (Art. 16 GDPR), right to erasure (Art. 17 GDPR), right to restriction of processing (Art. 18 GDPR), right to data portability (Art. 20 GDPR), right to object (Art. 21 GDPR).</w:t>
      </w:r>
    </w:p>
    <w:p w14:paraId="548509A4" w14:textId="77777777" w:rsidR="006E26DC" w:rsidRPr="008015F9" w:rsidRDefault="006E26DC" w:rsidP="006E26DC">
      <w:pPr>
        <w:jc w:val="both"/>
        <w:rPr>
          <w:rFonts w:asciiTheme="minorHAnsi" w:hAnsiTheme="minorHAnsi" w:cstheme="minorHAnsi"/>
          <w:bCs/>
          <w:sz w:val="22"/>
          <w:lang w:val="en-GB"/>
        </w:rPr>
      </w:pPr>
      <w:r w:rsidRPr="008015F9">
        <w:rPr>
          <w:rFonts w:asciiTheme="minorHAnsi" w:hAnsiTheme="minorHAnsi" w:cstheme="minorHAnsi"/>
          <w:bCs/>
          <w:sz w:val="22"/>
          <w:lang w:val="en-GB"/>
        </w:rPr>
        <w:t>Please contact the above data controller.</w:t>
      </w:r>
    </w:p>
    <w:p w14:paraId="0ECFB8B7" w14:textId="44F61FAB" w:rsidR="006E26DC" w:rsidRPr="008015F9" w:rsidRDefault="006E26DC" w:rsidP="006E26DC">
      <w:pPr>
        <w:spacing w:line="276" w:lineRule="auto"/>
        <w:jc w:val="both"/>
        <w:rPr>
          <w:rFonts w:asciiTheme="minorHAnsi" w:hAnsiTheme="minorHAnsi" w:cstheme="minorHAnsi"/>
          <w:bCs/>
          <w:sz w:val="22"/>
          <w:u w:val="single"/>
          <w:lang w:val="en-GB"/>
        </w:rPr>
      </w:pPr>
      <w:r w:rsidRPr="008015F9">
        <w:rPr>
          <w:rFonts w:asciiTheme="minorHAnsi" w:hAnsiTheme="minorHAnsi" w:cstheme="minorHAnsi"/>
          <w:bCs/>
          <w:sz w:val="22"/>
          <w:lang w:val="en-GB"/>
        </w:rPr>
        <w:t>You also have the right to lodge a complaint with the Italian supervisory authority for data protection "Garante per la protezion</w:t>
      </w:r>
      <w:r w:rsidR="00AB31F6">
        <w:rPr>
          <w:rFonts w:asciiTheme="minorHAnsi" w:hAnsiTheme="minorHAnsi" w:cstheme="minorHAnsi"/>
          <w:bCs/>
          <w:sz w:val="22"/>
          <w:lang w:val="en-GB"/>
        </w:rPr>
        <w:t>e</w:t>
      </w:r>
      <w:r w:rsidRPr="008015F9">
        <w:rPr>
          <w:rFonts w:asciiTheme="minorHAnsi" w:hAnsiTheme="minorHAnsi" w:cstheme="minorHAnsi"/>
          <w:bCs/>
          <w:sz w:val="22"/>
          <w:lang w:val="en-GB"/>
        </w:rPr>
        <w:t xml:space="preserve"> dei dati personali".</w:t>
      </w:r>
    </w:p>
    <w:p w14:paraId="11DEBEE7" w14:textId="77777777" w:rsidR="004706CB" w:rsidRPr="008015F9" w:rsidRDefault="004706CB" w:rsidP="004706CB">
      <w:pPr>
        <w:tabs>
          <w:tab w:val="left" w:pos="3890"/>
          <w:tab w:val="center" w:pos="4536"/>
        </w:tabs>
        <w:spacing w:line="240" w:lineRule="auto"/>
        <w:rPr>
          <w:rFonts w:asciiTheme="minorHAnsi" w:hAnsiTheme="minorHAnsi" w:cstheme="minorHAnsi"/>
          <w:sz w:val="22"/>
          <w:lang w:val="en-GB"/>
        </w:rPr>
      </w:pPr>
    </w:p>
    <w:p w14:paraId="6B300C4D" w14:textId="22D8FE8D" w:rsidR="004706CB" w:rsidRPr="008015F9" w:rsidRDefault="004706CB" w:rsidP="00A7405D">
      <w:pPr>
        <w:rPr>
          <w:rFonts w:asciiTheme="minorHAnsi" w:hAnsiTheme="minorHAnsi" w:cstheme="minorHAnsi"/>
          <w:sz w:val="22"/>
          <w:lang w:val="en-GB"/>
        </w:rPr>
      </w:pPr>
    </w:p>
    <w:sectPr w:rsidR="004706CB" w:rsidRPr="008015F9" w:rsidSect="00907D16">
      <w:footerReference w:type="default" r:id="rId7"/>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EDF62" w14:textId="77777777" w:rsidR="00B10F4D" w:rsidRDefault="00B10F4D" w:rsidP="007921B0">
      <w:pPr>
        <w:spacing w:line="240" w:lineRule="auto"/>
      </w:pPr>
      <w:r>
        <w:separator/>
      </w:r>
    </w:p>
  </w:endnote>
  <w:endnote w:type="continuationSeparator" w:id="0">
    <w:p w14:paraId="5299594E" w14:textId="77777777" w:rsidR="00B10F4D" w:rsidRDefault="00B10F4D" w:rsidP="0079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Book-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298" w:type="dxa"/>
      <w:tblLook w:val="04A0" w:firstRow="1" w:lastRow="0" w:firstColumn="1" w:lastColumn="0" w:noHBand="0" w:noVBand="1"/>
    </w:tblPr>
    <w:tblGrid>
      <w:gridCol w:w="3539"/>
      <w:gridCol w:w="2738"/>
      <w:gridCol w:w="3021"/>
    </w:tblGrid>
    <w:tr w:rsidR="007921B0" w:rsidRPr="008015F9" w14:paraId="12D26C5F" w14:textId="77777777" w:rsidTr="00E541F8">
      <w:tc>
        <w:tcPr>
          <w:tcW w:w="3539" w:type="dxa"/>
          <w:vAlign w:val="center"/>
        </w:tcPr>
        <w:p w14:paraId="09CBE2B3" w14:textId="5E1A4BAA" w:rsidR="007921B0" w:rsidRPr="008015F9" w:rsidRDefault="007921B0" w:rsidP="007921B0">
          <w:pPr>
            <w:pStyle w:val="Fuzeile"/>
            <w:jc w:val="center"/>
            <w:rPr>
              <w:rFonts w:asciiTheme="minorHAnsi" w:hAnsiTheme="minorHAnsi" w:cstheme="minorHAnsi"/>
              <w:color w:val="808080" w:themeColor="background1" w:themeShade="80"/>
              <w:lang w:val="en-GB"/>
            </w:rPr>
          </w:pPr>
          <w:r w:rsidRPr="008015F9">
            <w:rPr>
              <w:rFonts w:asciiTheme="minorHAnsi" w:hAnsiTheme="minorHAnsi" w:cstheme="minorHAnsi"/>
              <w:noProof/>
              <w:lang w:val="en-GB"/>
            </w:rPr>
            <w:drawing>
              <wp:anchor distT="0" distB="0" distL="114300" distR="114300" simplePos="0" relativeHeight="251659264" behindDoc="0" locked="0" layoutInCell="1" allowOverlap="1" wp14:anchorId="29626F55" wp14:editId="284E7D0C">
                <wp:simplePos x="0" y="0"/>
                <wp:positionH relativeFrom="column">
                  <wp:posOffset>-52070</wp:posOffset>
                </wp:positionH>
                <wp:positionV relativeFrom="paragraph">
                  <wp:posOffset>10160</wp:posOffset>
                </wp:positionV>
                <wp:extent cx="221615" cy="255905"/>
                <wp:effectExtent l="0" t="0" r="698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61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5F9">
            <w:rPr>
              <w:rFonts w:asciiTheme="minorHAnsi" w:hAnsiTheme="minorHAnsi" w:cstheme="minorHAnsi"/>
              <w:color w:val="808080" w:themeColor="background1" w:themeShade="80"/>
              <w:lang w:val="en-GB"/>
            </w:rPr>
            <w:t xml:space="preserve">   </w:t>
          </w:r>
          <w:r w:rsidR="00F748F5" w:rsidRPr="008015F9">
            <w:rPr>
              <w:rFonts w:asciiTheme="minorHAnsi" w:hAnsiTheme="minorHAnsi" w:cstheme="minorHAnsi"/>
              <w:color w:val="808080" w:themeColor="background1" w:themeShade="80"/>
              <w:lang w:val="en-GB"/>
            </w:rPr>
            <w:t>Data Protection information letter Applicants</w:t>
          </w:r>
        </w:p>
      </w:tc>
      <w:tc>
        <w:tcPr>
          <w:tcW w:w="2738" w:type="dxa"/>
          <w:vAlign w:val="center"/>
        </w:tcPr>
        <w:p w14:paraId="6DC49363" w14:textId="77777777" w:rsidR="007921B0" w:rsidRPr="008015F9" w:rsidRDefault="007921B0" w:rsidP="007921B0">
          <w:pPr>
            <w:pStyle w:val="Fuzeile"/>
            <w:jc w:val="center"/>
            <w:rPr>
              <w:rFonts w:asciiTheme="minorHAnsi" w:hAnsiTheme="minorHAnsi" w:cstheme="minorHAnsi"/>
              <w:color w:val="808080" w:themeColor="background1" w:themeShade="80"/>
              <w:lang w:val="en-GB"/>
            </w:rPr>
          </w:pPr>
          <w:r w:rsidRPr="008015F9">
            <w:rPr>
              <w:rFonts w:asciiTheme="minorHAnsi" w:hAnsiTheme="minorHAnsi" w:cstheme="minorHAnsi"/>
              <w:color w:val="808080" w:themeColor="background1" w:themeShade="80"/>
              <w:lang w:val="en-GB"/>
            </w:rPr>
            <w:t>Version 2.1</w:t>
          </w:r>
        </w:p>
      </w:tc>
      <w:tc>
        <w:tcPr>
          <w:tcW w:w="3021" w:type="dxa"/>
          <w:vAlign w:val="center"/>
        </w:tcPr>
        <w:sdt>
          <w:sdtPr>
            <w:rPr>
              <w:rFonts w:asciiTheme="minorHAnsi" w:hAnsiTheme="minorHAnsi" w:cstheme="minorHAnsi"/>
              <w:color w:val="808080" w:themeColor="background1" w:themeShade="80"/>
              <w:lang w:val="en-GB"/>
            </w:rPr>
            <w:id w:val="-1769616900"/>
            <w:docPartObj>
              <w:docPartGallery w:val="Page Numbers (Top of Page)"/>
              <w:docPartUnique/>
            </w:docPartObj>
          </w:sdtPr>
          <w:sdtEndPr/>
          <w:sdtContent>
            <w:p w14:paraId="29573D2B" w14:textId="62EC8EB9" w:rsidR="007921B0" w:rsidRPr="008015F9" w:rsidRDefault="005E6CA6" w:rsidP="007921B0">
              <w:pPr>
                <w:pStyle w:val="Fuzeile"/>
                <w:jc w:val="center"/>
                <w:rPr>
                  <w:rFonts w:asciiTheme="minorHAnsi" w:hAnsiTheme="minorHAnsi" w:cstheme="minorHAnsi"/>
                  <w:color w:val="808080" w:themeColor="background1" w:themeShade="80"/>
                  <w:lang w:val="en-GB"/>
                </w:rPr>
              </w:pPr>
              <w:r w:rsidRPr="008015F9">
                <w:rPr>
                  <w:rFonts w:asciiTheme="minorHAnsi" w:hAnsiTheme="minorHAnsi" w:cstheme="minorHAnsi"/>
                  <w:color w:val="808080" w:themeColor="background1" w:themeShade="80"/>
                  <w:lang w:val="en-GB"/>
                </w:rPr>
                <w:t>Page</w:t>
              </w:r>
              <w:r w:rsidR="007921B0" w:rsidRPr="008015F9">
                <w:rPr>
                  <w:rFonts w:asciiTheme="minorHAnsi" w:hAnsiTheme="minorHAnsi" w:cstheme="minorHAnsi"/>
                  <w:color w:val="808080" w:themeColor="background1" w:themeShade="80"/>
                  <w:lang w:val="en-GB"/>
                </w:rPr>
                <w:t xml:space="preserve"> </w:t>
              </w:r>
              <w:r w:rsidR="007921B0" w:rsidRPr="008015F9">
                <w:rPr>
                  <w:rFonts w:asciiTheme="minorHAnsi" w:hAnsiTheme="minorHAnsi" w:cstheme="minorHAnsi"/>
                  <w:b/>
                  <w:bCs/>
                  <w:color w:val="808080" w:themeColor="background1" w:themeShade="80"/>
                  <w:sz w:val="24"/>
                  <w:szCs w:val="24"/>
                  <w:lang w:val="en-GB"/>
                </w:rPr>
                <w:fldChar w:fldCharType="begin"/>
              </w:r>
              <w:r w:rsidR="007921B0" w:rsidRPr="008015F9">
                <w:rPr>
                  <w:rFonts w:asciiTheme="minorHAnsi" w:hAnsiTheme="minorHAnsi" w:cstheme="minorHAnsi"/>
                  <w:b/>
                  <w:bCs/>
                  <w:color w:val="808080" w:themeColor="background1" w:themeShade="80"/>
                  <w:lang w:val="en-GB"/>
                </w:rPr>
                <w:instrText>PAGE</w:instrText>
              </w:r>
              <w:r w:rsidR="007921B0" w:rsidRPr="008015F9">
                <w:rPr>
                  <w:rFonts w:asciiTheme="minorHAnsi" w:hAnsiTheme="minorHAnsi" w:cstheme="minorHAnsi"/>
                  <w:b/>
                  <w:bCs/>
                  <w:color w:val="808080" w:themeColor="background1" w:themeShade="80"/>
                  <w:sz w:val="24"/>
                  <w:szCs w:val="24"/>
                  <w:lang w:val="en-GB"/>
                </w:rPr>
                <w:fldChar w:fldCharType="separate"/>
              </w:r>
              <w:r w:rsidR="007921B0" w:rsidRPr="008015F9">
                <w:rPr>
                  <w:rFonts w:asciiTheme="minorHAnsi" w:hAnsiTheme="minorHAnsi" w:cstheme="minorHAnsi"/>
                  <w:b/>
                  <w:bCs/>
                  <w:color w:val="808080" w:themeColor="background1" w:themeShade="80"/>
                  <w:sz w:val="24"/>
                  <w:szCs w:val="24"/>
                  <w:lang w:val="en-GB"/>
                </w:rPr>
                <w:t>1</w:t>
              </w:r>
              <w:r w:rsidR="007921B0" w:rsidRPr="008015F9">
                <w:rPr>
                  <w:rFonts w:asciiTheme="minorHAnsi" w:hAnsiTheme="minorHAnsi" w:cstheme="minorHAnsi"/>
                  <w:b/>
                  <w:bCs/>
                  <w:color w:val="808080" w:themeColor="background1" w:themeShade="80"/>
                  <w:sz w:val="24"/>
                  <w:szCs w:val="24"/>
                  <w:lang w:val="en-GB"/>
                </w:rPr>
                <w:fldChar w:fldCharType="end"/>
              </w:r>
              <w:r w:rsidR="007921B0" w:rsidRPr="008015F9">
                <w:rPr>
                  <w:rFonts w:asciiTheme="minorHAnsi" w:hAnsiTheme="minorHAnsi" w:cstheme="minorHAnsi"/>
                  <w:color w:val="808080" w:themeColor="background1" w:themeShade="80"/>
                  <w:lang w:val="en-GB"/>
                </w:rPr>
                <w:t xml:space="preserve"> </w:t>
              </w:r>
              <w:r w:rsidRPr="008015F9">
                <w:rPr>
                  <w:rFonts w:asciiTheme="minorHAnsi" w:hAnsiTheme="minorHAnsi" w:cstheme="minorHAnsi"/>
                  <w:color w:val="808080" w:themeColor="background1" w:themeShade="80"/>
                  <w:lang w:val="en-GB"/>
                </w:rPr>
                <w:t xml:space="preserve">of </w:t>
              </w:r>
              <w:r w:rsidR="007921B0" w:rsidRPr="008015F9">
                <w:rPr>
                  <w:rFonts w:asciiTheme="minorHAnsi" w:hAnsiTheme="minorHAnsi" w:cstheme="minorHAnsi"/>
                  <w:b/>
                  <w:bCs/>
                  <w:color w:val="808080" w:themeColor="background1" w:themeShade="80"/>
                  <w:sz w:val="24"/>
                  <w:szCs w:val="24"/>
                  <w:lang w:val="en-GB"/>
                </w:rPr>
                <w:fldChar w:fldCharType="begin"/>
              </w:r>
              <w:r w:rsidR="007921B0" w:rsidRPr="008015F9">
                <w:rPr>
                  <w:rFonts w:asciiTheme="minorHAnsi" w:hAnsiTheme="minorHAnsi" w:cstheme="minorHAnsi"/>
                  <w:b/>
                  <w:bCs/>
                  <w:color w:val="808080" w:themeColor="background1" w:themeShade="80"/>
                  <w:lang w:val="en-GB"/>
                </w:rPr>
                <w:instrText>NUMPAGES</w:instrText>
              </w:r>
              <w:r w:rsidR="007921B0" w:rsidRPr="008015F9">
                <w:rPr>
                  <w:rFonts w:asciiTheme="minorHAnsi" w:hAnsiTheme="minorHAnsi" w:cstheme="minorHAnsi"/>
                  <w:b/>
                  <w:bCs/>
                  <w:color w:val="808080" w:themeColor="background1" w:themeShade="80"/>
                  <w:sz w:val="24"/>
                  <w:szCs w:val="24"/>
                  <w:lang w:val="en-GB"/>
                </w:rPr>
                <w:fldChar w:fldCharType="separate"/>
              </w:r>
              <w:r w:rsidR="007921B0" w:rsidRPr="008015F9">
                <w:rPr>
                  <w:rFonts w:asciiTheme="minorHAnsi" w:hAnsiTheme="minorHAnsi" w:cstheme="minorHAnsi"/>
                  <w:b/>
                  <w:bCs/>
                  <w:color w:val="808080" w:themeColor="background1" w:themeShade="80"/>
                  <w:sz w:val="24"/>
                  <w:szCs w:val="24"/>
                  <w:lang w:val="en-GB"/>
                </w:rPr>
                <w:t>3</w:t>
              </w:r>
              <w:r w:rsidR="007921B0" w:rsidRPr="008015F9">
                <w:rPr>
                  <w:rFonts w:asciiTheme="minorHAnsi" w:hAnsiTheme="minorHAnsi" w:cstheme="minorHAnsi"/>
                  <w:b/>
                  <w:bCs/>
                  <w:color w:val="808080" w:themeColor="background1" w:themeShade="80"/>
                  <w:sz w:val="24"/>
                  <w:szCs w:val="24"/>
                  <w:lang w:val="en-GB"/>
                </w:rPr>
                <w:fldChar w:fldCharType="end"/>
              </w:r>
            </w:p>
          </w:sdtContent>
        </w:sdt>
      </w:tc>
    </w:tr>
  </w:tbl>
  <w:p w14:paraId="36B5F65D" w14:textId="77777777" w:rsidR="007921B0" w:rsidRPr="008015F9" w:rsidRDefault="007921B0">
    <w:pPr>
      <w:pStyle w:val="Fuzeile"/>
      <w:rPr>
        <w:rFonts w:asciiTheme="minorHAnsi" w:hAnsiTheme="minorHAnsi" w:cstheme="minorHAns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9305" w14:textId="77777777" w:rsidR="00B10F4D" w:rsidRDefault="00B10F4D" w:rsidP="007921B0">
      <w:pPr>
        <w:spacing w:line="240" w:lineRule="auto"/>
      </w:pPr>
      <w:r>
        <w:separator/>
      </w:r>
    </w:p>
  </w:footnote>
  <w:footnote w:type="continuationSeparator" w:id="0">
    <w:p w14:paraId="6B267D18" w14:textId="77777777" w:rsidR="00B10F4D" w:rsidRDefault="00B10F4D" w:rsidP="007921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2767"/>
    <w:multiLevelType w:val="hybridMultilevel"/>
    <w:tmpl w:val="841A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3546F"/>
    <w:multiLevelType w:val="hybridMultilevel"/>
    <w:tmpl w:val="F086CFC4"/>
    <w:lvl w:ilvl="0" w:tplc="9438AD04">
      <w:start w:val="1"/>
      <w:numFmt w:val="bullet"/>
      <w:lvlText w:val=""/>
      <w:lvlJc w:val="left"/>
      <w:pPr>
        <w:ind w:left="720" w:hanging="360"/>
      </w:pPr>
      <w:rPr>
        <w:rFonts w:ascii="Wingdings" w:hAnsi="Wingdings" w:hint="default"/>
        <w:color w:val="0822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FC72BC"/>
    <w:multiLevelType w:val="hybridMultilevel"/>
    <w:tmpl w:val="5ECE5C22"/>
    <w:lvl w:ilvl="0" w:tplc="9438AD04">
      <w:start w:val="1"/>
      <w:numFmt w:val="bullet"/>
      <w:lvlText w:val=""/>
      <w:lvlJc w:val="left"/>
      <w:pPr>
        <w:ind w:left="720" w:hanging="360"/>
      </w:pPr>
      <w:rPr>
        <w:rFonts w:ascii="Wingdings" w:hAnsi="Wingdings" w:hint="default"/>
        <w:color w:val="0822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F47DA6"/>
    <w:multiLevelType w:val="hybridMultilevel"/>
    <w:tmpl w:val="3B0A6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A37D21"/>
    <w:multiLevelType w:val="hybridMultilevel"/>
    <w:tmpl w:val="5F6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819713">
    <w:abstractNumId w:val="0"/>
  </w:num>
  <w:num w:numId="2" w16cid:durableId="1625622409">
    <w:abstractNumId w:val="3"/>
  </w:num>
  <w:num w:numId="3" w16cid:durableId="95054954">
    <w:abstractNumId w:val="4"/>
  </w:num>
  <w:num w:numId="4" w16cid:durableId="1872104671">
    <w:abstractNumId w:val="1"/>
  </w:num>
  <w:num w:numId="5" w16cid:durableId="180184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2"/>
    <w:rsid w:val="0005125A"/>
    <w:rsid w:val="00054207"/>
    <w:rsid w:val="00055C32"/>
    <w:rsid w:val="00091565"/>
    <w:rsid w:val="000B0DB9"/>
    <w:rsid w:val="000C4D50"/>
    <w:rsid w:val="000D01A5"/>
    <w:rsid w:val="001002D4"/>
    <w:rsid w:val="00111210"/>
    <w:rsid w:val="001210E6"/>
    <w:rsid w:val="00123693"/>
    <w:rsid w:val="001239C1"/>
    <w:rsid w:val="00124755"/>
    <w:rsid w:val="00125F78"/>
    <w:rsid w:val="00180465"/>
    <w:rsid w:val="00192E47"/>
    <w:rsid w:val="00195A2A"/>
    <w:rsid w:val="001C7B35"/>
    <w:rsid w:val="001D0373"/>
    <w:rsid w:val="001F4930"/>
    <w:rsid w:val="00211404"/>
    <w:rsid w:val="00214CDE"/>
    <w:rsid w:val="002259CB"/>
    <w:rsid w:val="00287C5D"/>
    <w:rsid w:val="002E2383"/>
    <w:rsid w:val="002F55C4"/>
    <w:rsid w:val="00316118"/>
    <w:rsid w:val="00322822"/>
    <w:rsid w:val="00343565"/>
    <w:rsid w:val="003807BE"/>
    <w:rsid w:val="00385729"/>
    <w:rsid w:val="003B17FE"/>
    <w:rsid w:val="003D5816"/>
    <w:rsid w:val="00433966"/>
    <w:rsid w:val="004706CB"/>
    <w:rsid w:val="004B4A58"/>
    <w:rsid w:val="004D76D1"/>
    <w:rsid w:val="005308CE"/>
    <w:rsid w:val="005343CE"/>
    <w:rsid w:val="00567F60"/>
    <w:rsid w:val="00577D14"/>
    <w:rsid w:val="00593369"/>
    <w:rsid w:val="00595029"/>
    <w:rsid w:val="00595B4D"/>
    <w:rsid w:val="005A7169"/>
    <w:rsid w:val="005E6CA6"/>
    <w:rsid w:val="006071D3"/>
    <w:rsid w:val="00660AE2"/>
    <w:rsid w:val="00684E15"/>
    <w:rsid w:val="006A24C1"/>
    <w:rsid w:val="006C76D8"/>
    <w:rsid w:val="006E26DC"/>
    <w:rsid w:val="00711170"/>
    <w:rsid w:val="00712C59"/>
    <w:rsid w:val="00722C3F"/>
    <w:rsid w:val="00734EEB"/>
    <w:rsid w:val="00740D0B"/>
    <w:rsid w:val="0074703C"/>
    <w:rsid w:val="00750AA0"/>
    <w:rsid w:val="007853B6"/>
    <w:rsid w:val="007921B0"/>
    <w:rsid w:val="007B2FEE"/>
    <w:rsid w:val="008015F9"/>
    <w:rsid w:val="00833765"/>
    <w:rsid w:val="00864433"/>
    <w:rsid w:val="008B34D4"/>
    <w:rsid w:val="008E7F31"/>
    <w:rsid w:val="00903828"/>
    <w:rsid w:val="00907D16"/>
    <w:rsid w:val="00964888"/>
    <w:rsid w:val="009B721A"/>
    <w:rsid w:val="009C2890"/>
    <w:rsid w:val="009E68F4"/>
    <w:rsid w:val="009F2A58"/>
    <w:rsid w:val="009F6725"/>
    <w:rsid w:val="00A53CEF"/>
    <w:rsid w:val="00A7405D"/>
    <w:rsid w:val="00AB31F6"/>
    <w:rsid w:val="00AF681C"/>
    <w:rsid w:val="00B10F4D"/>
    <w:rsid w:val="00B35A00"/>
    <w:rsid w:val="00B61FFB"/>
    <w:rsid w:val="00B97E5C"/>
    <w:rsid w:val="00BC38DA"/>
    <w:rsid w:val="00BD23D4"/>
    <w:rsid w:val="00BD5FBD"/>
    <w:rsid w:val="00C9634A"/>
    <w:rsid w:val="00CA23C5"/>
    <w:rsid w:val="00CB29E5"/>
    <w:rsid w:val="00CE3A04"/>
    <w:rsid w:val="00D76AD0"/>
    <w:rsid w:val="00D82892"/>
    <w:rsid w:val="00DB59FD"/>
    <w:rsid w:val="00E251CF"/>
    <w:rsid w:val="00E63894"/>
    <w:rsid w:val="00EB6BA4"/>
    <w:rsid w:val="00EC4354"/>
    <w:rsid w:val="00EF3071"/>
    <w:rsid w:val="00EF3D2F"/>
    <w:rsid w:val="00F60771"/>
    <w:rsid w:val="00F748F5"/>
    <w:rsid w:val="00FA52D3"/>
    <w:rsid w:val="00FD50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C4B"/>
  <w15:chartTrackingRefBased/>
  <w15:docId w15:val="{F2C06B53-E69B-4FAB-9878-8BB80D5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05D"/>
    <w:pPr>
      <w:spacing w:after="0" w:line="240" w:lineRule="atLeast"/>
    </w:pPr>
    <w:rPr>
      <w:rFonts w:ascii="MetaBook-Roman" w:eastAsiaTheme="minorEastAsia" w:hAnsi="MetaBook-Roman"/>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6CB"/>
    <w:pPr>
      <w:spacing w:after="160" w:line="259" w:lineRule="auto"/>
      <w:ind w:left="720"/>
      <w:contextualSpacing/>
    </w:pPr>
    <w:rPr>
      <w:rFonts w:asciiTheme="minorHAnsi" w:eastAsiaTheme="minorHAnsi" w:hAnsiTheme="minorHAnsi"/>
      <w:sz w:val="22"/>
      <w:lang w:eastAsia="en-US"/>
    </w:rPr>
  </w:style>
  <w:style w:type="paragraph" w:styleId="Kopfzeile">
    <w:name w:val="header"/>
    <w:basedOn w:val="Standard"/>
    <w:link w:val="KopfzeileZchn"/>
    <w:uiPriority w:val="99"/>
    <w:unhideWhenUsed/>
    <w:rsid w:val="007921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21B0"/>
    <w:rPr>
      <w:rFonts w:ascii="MetaBook-Roman" w:eastAsiaTheme="minorEastAsia" w:hAnsi="MetaBook-Roman"/>
      <w:sz w:val="18"/>
      <w:lang w:eastAsia="de-DE"/>
    </w:rPr>
  </w:style>
  <w:style w:type="paragraph" w:styleId="Fuzeile">
    <w:name w:val="footer"/>
    <w:basedOn w:val="Standard"/>
    <w:link w:val="FuzeileZchn"/>
    <w:uiPriority w:val="99"/>
    <w:unhideWhenUsed/>
    <w:rsid w:val="007921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21B0"/>
    <w:rPr>
      <w:rFonts w:ascii="MetaBook-Roman" w:eastAsiaTheme="minorEastAsia" w:hAnsi="MetaBook-Roman"/>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677D6.4CAC865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2693</Characters>
  <Application>Microsoft Office Word</Application>
  <DocSecurity>0</DocSecurity>
  <Lines>22</Lines>
  <Paragraphs>6</Paragraphs>
  <ScaleCrop>false</ScaleCrop>
  <Company>Steger Consulting GmbH</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Lukas Steger</cp:lastModifiedBy>
  <cp:revision>89</cp:revision>
  <dcterms:created xsi:type="dcterms:W3CDTF">2022-07-26T08:31:00Z</dcterms:created>
  <dcterms:modified xsi:type="dcterms:W3CDTF">2024-11-26T12:52:00Z</dcterms:modified>
</cp:coreProperties>
</file>